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94" w:rsidRDefault="00622894" w:rsidP="0062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130">
        <w:rPr>
          <w:rFonts w:ascii="Times New Roman" w:hAnsi="Times New Roman" w:cs="Times New Roman"/>
          <w:b/>
          <w:sz w:val="28"/>
          <w:szCs w:val="24"/>
        </w:rPr>
        <w:t>ПАСПОРТ УСЛУГИ (ПРОЦЕССА)</w:t>
      </w:r>
      <w:r>
        <w:rPr>
          <w:rFonts w:ascii="Times New Roman" w:hAnsi="Times New Roman" w:cs="Times New Roman"/>
          <w:b/>
          <w:sz w:val="28"/>
          <w:szCs w:val="24"/>
        </w:rPr>
        <w:t xml:space="preserve"> ОО</w:t>
      </w:r>
      <w:r w:rsidRPr="00975130">
        <w:rPr>
          <w:rFonts w:ascii="Times New Roman" w:hAnsi="Times New Roman" w:cs="Times New Roman"/>
          <w:b/>
          <w:sz w:val="28"/>
          <w:szCs w:val="24"/>
        </w:rPr>
        <w:t>О «</w:t>
      </w:r>
      <w:r>
        <w:rPr>
          <w:rFonts w:ascii="Times New Roman" w:hAnsi="Times New Roman" w:cs="Times New Roman"/>
          <w:b/>
          <w:sz w:val="28"/>
          <w:szCs w:val="24"/>
        </w:rPr>
        <w:t>ГОРСЕТИ</w:t>
      </w:r>
      <w:r w:rsidRPr="00975130">
        <w:rPr>
          <w:rFonts w:ascii="Times New Roman" w:hAnsi="Times New Roman" w:cs="Times New Roman"/>
          <w:b/>
          <w:sz w:val="28"/>
          <w:szCs w:val="24"/>
        </w:rPr>
        <w:t>»</w:t>
      </w:r>
    </w:p>
    <w:p w:rsidR="00622894" w:rsidRPr="00975130" w:rsidRDefault="00622894" w:rsidP="0062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2894" w:rsidRDefault="00622894" w:rsidP="00622894">
      <w:pPr>
        <w:widowControl w:val="0"/>
        <w:autoSpaceDE w:val="0"/>
        <w:autoSpaceDN w:val="0"/>
        <w:adjustRightInd w:val="0"/>
        <w:spacing w:after="0" w:line="25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ТЕХНОЛОГИЧЕСКОЕ ПРИСОЕДИНЕНИЕ К ЭЛЕКТРИЧЕСКИМ СЕТЯМ СЕТЕВОЙ ОРГАНИЗАЦИИ </w:t>
      </w:r>
      <w:proofErr w:type="spellStart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устройств юридических лиц и индивидуальных предпринимателей с максимальной мощностью свыше 150 кВт до 670 кВт</w:t>
      </w:r>
    </w:p>
    <w:p w:rsidR="00622894" w:rsidRDefault="00622894" w:rsidP="00D50C2E">
      <w:pPr>
        <w:spacing w:after="0" w:line="240" w:lineRule="auto"/>
      </w:pPr>
    </w:p>
    <w:p w:rsidR="00622894" w:rsidRDefault="00622894" w:rsidP="00622894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или индивидуальный предприниматель в целях технологического присоединения (далее - ТП) по одному источнику энергоснабжения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устройств, максимальная мощность которых составляет свыше 150 кВт и менее 670 кВт (с учетом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устройств)</w:t>
      </w:r>
    </w:p>
    <w:p w:rsidR="00622894" w:rsidRDefault="00622894" w:rsidP="00622894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с максимальной мощностью свыше 150 кВт и менее 670 кВт включительно рассчитывается исходя из величины максимальной мощности присоединяемых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622894" w:rsidRDefault="00622894" w:rsidP="00622894">
      <w:pPr>
        <w:widowControl w:val="0"/>
        <w:autoSpaceDE w:val="0"/>
        <w:autoSpaceDN w:val="0"/>
        <w:adjustRightInd w:val="0"/>
        <w:spacing w:before="4" w:after="0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устройств.</w:t>
      </w:r>
    </w:p>
    <w:p w:rsidR="00622894" w:rsidRDefault="00622894" w:rsidP="00622894">
      <w:pPr>
        <w:widowControl w:val="0"/>
        <w:autoSpaceDE w:val="0"/>
        <w:autoSpaceDN w:val="0"/>
        <w:adjustRightInd w:val="0"/>
        <w:spacing w:after="0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заявителя к электрической сети.</w:t>
      </w:r>
    </w:p>
    <w:p w:rsidR="00622894" w:rsidRDefault="00622894" w:rsidP="00622894">
      <w:pPr>
        <w:widowControl w:val="0"/>
        <w:autoSpaceDE w:val="0"/>
        <w:autoSpaceDN w:val="0"/>
        <w:adjustRightInd w:val="0"/>
        <w:spacing w:after="0" w:line="25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</w:p>
    <w:p w:rsidR="00622894" w:rsidRDefault="00622894" w:rsidP="00D50C2E">
      <w:pPr>
        <w:widowControl w:val="0"/>
        <w:autoSpaceDE w:val="0"/>
        <w:autoSpaceDN w:val="0"/>
        <w:adjustRightInd w:val="0"/>
        <w:spacing w:before="10" w:after="0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и (или) объектов электроэнергетики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договора;</w:t>
      </w:r>
    </w:p>
    <w:p w:rsidR="00622894" w:rsidRDefault="00622894" w:rsidP="00D50C2E">
      <w:pPr>
        <w:widowControl w:val="0"/>
        <w:autoSpaceDE w:val="0"/>
        <w:autoSpaceDN w:val="0"/>
        <w:adjustRightInd w:val="0"/>
        <w:spacing w:before="1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случаях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(если более короткие сроки не предусмотрены инвестиционной программой </w:t>
      </w:r>
      <w:r w:rsidR="00D50C2E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оответствующей сетевой организации или соглашением сторон).</w:t>
      </w:r>
    </w:p>
    <w:p w:rsidR="00622894" w:rsidRDefault="00622894" w:rsidP="00622894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2E74B5"/>
          <w:sz w:val="24"/>
          <w:szCs w:val="24"/>
        </w:rPr>
      </w:pPr>
    </w:p>
    <w:p w:rsidR="00D50C2E" w:rsidRDefault="00D50C2E" w:rsidP="00622894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2E74B5"/>
          <w:sz w:val="24"/>
          <w:szCs w:val="24"/>
        </w:rPr>
      </w:pPr>
    </w:p>
    <w:p w:rsidR="00622894" w:rsidRDefault="00622894" w:rsidP="00622894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35"/>
        <w:tblW w:w="156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9"/>
        <w:gridCol w:w="2054"/>
        <w:gridCol w:w="2410"/>
        <w:gridCol w:w="3746"/>
        <w:gridCol w:w="1995"/>
        <w:gridCol w:w="2348"/>
        <w:gridCol w:w="2562"/>
      </w:tblGrid>
      <w:tr w:rsidR="007265E9" w:rsidRPr="00BC2E96" w:rsidTr="00226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этапа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предоставления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нормативный правовой акт</w:t>
            </w:r>
          </w:p>
        </w:tc>
      </w:tr>
      <w:tr w:rsidR="00EB0F78" w:rsidRPr="007265E9" w:rsidTr="00226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7265E9">
              <w:rPr>
                <w:rFonts w:ascii="Times New Roman" w:hAnsi="Times New Roman" w:cs="Times New Roman"/>
                <w:b w:val="0"/>
                <w:szCs w:val="24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>Подача заявки на технологическое присоединение</w:t>
            </w:r>
          </w:p>
          <w:p w:rsidR="00EB0F78" w:rsidRPr="007265E9" w:rsidRDefault="00EB0F78" w:rsidP="0072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ind w:righ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Направление заявки в сетевую организацию,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объекты 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электросетевого 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хозяйства которой расположены на наименьшем 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расстоянии от границ участка заявителя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ind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265E9">
              <w:rPr>
                <w:rFonts w:ascii="Times New Roman" w:hAnsi="Times New Roman" w:cs="Times New Roman"/>
                <w:bCs/>
                <w:szCs w:val="24"/>
              </w:rPr>
              <w:t>1.1.</w:t>
            </w:r>
            <w:r w:rsidRPr="007265E9">
              <w:rPr>
                <w:rFonts w:ascii="Times New Roman" w:hAnsi="Times New Roman" w:cs="Times New Roman"/>
                <w:szCs w:val="24"/>
              </w:rPr>
              <w:t xml:space="preserve"> Заявитель подает заявку на технологическое присоединение;</w:t>
            </w:r>
          </w:p>
          <w:p w:rsidR="00EB0F78" w:rsidRPr="007265E9" w:rsidRDefault="00EB0F78" w:rsidP="007265E9">
            <w:pPr>
              <w:ind w:firstLine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Очное обращение заявителя с заявкой в офис обслуживания потребителей, письменное обращение с заявкой заказным письмом с уведомлением, заявка по электронной форме 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 xml:space="preserve">на сайте </w:t>
            </w:r>
            <w:hyperlink r:id="rId4" w:history="1">
              <w:r w:rsidRPr="007265E9">
                <w:rPr>
                  <w:rStyle w:val="a3"/>
                  <w:rFonts w:ascii="Times New Roman" w:hAnsi="Times New Roman" w:cs="Times New Roman"/>
                  <w:szCs w:val="24"/>
                </w:rPr>
                <w:t>https://www.gorsetitomsk.ru/logi№</w:t>
              </w:r>
            </w:hyperlink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 xml:space="preserve"> через Личный 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>кабинет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>Не ограничен</w:t>
            </w:r>
          </w:p>
          <w:p w:rsidR="00EB0F78" w:rsidRPr="007265E9" w:rsidRDefault="00EB0F78" w:rsidP="0072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 xml:space="preserve">Пункты 8- 10,12, Правил технологического 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>присоединения</w:t>
            </w:r>
          </w:p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0F78" w:rsidRPr="007265E9" w:rsidTr="00226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ind w:right="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 отсутствии сведений и документов, указанных в пунктах 9, 10 и 12 Правил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1.2. Сетевая организация направляет заявителю уведомление о необходимости в течение 20 рабочих</w:t>
            </w:r>
          </w:p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 со дня его получения представить недостающие сведения и(или) документы и приостанавливает рассмотрение заявки до получения</w:t>
            </w:r>
          </w:p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недостающих сведений и документов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рабочих дня после получения заявки</w:t>
            </w:r>
          </w:p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 xml:space="preserve">Пункт 15 Правил технологического присоединения </w:t>
            </w:r>
          </w:p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>энергопринимающих</w:t>
            </w:r>
            <w:proofErr w:type="spellEnd"/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 xml:space="preserve"> устройств</w:t>
            </w:r>
          </w:p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 xml:space="preserve">потребителей </w:t>
            </w:r>
          </w:p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65E9">
              <w:rPr>
                <w:rFonts w:ascii="Times New Roman" w:hAnsi="Times New Roman" w:cs="Times New Roman"/>
                <w:color w:val="000000"/>
                <w:szCs w:val="24"/>
              </w:rPr>
              <w:t>электрической энергии</w:t>
            </w:r>
          </w:p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B0F78" w:rsidRPr="007265E9" w:rsidTr="00226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7265E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Непредоставление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заявителем недостающих документов и сведений в течение 20 рабочих дней со дня получения </w:t>
            </w:r>
          </w:p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1.3. Аннулирование заявки и уведомление об этом заявителя</w:t>
            </w:r>
          </w:p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78" w:rsidRP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рабочих дня со дня принятия решения об аннулировании заявки</w:t>
            </w:r>
          </w:p>
          <w:p w:rsidR="00EB0F78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78" w:rsidRPr="007265E9" w:rsidRDefault="00EB0F78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50C2E" w:rsidRPr="007265E9" w:rsidTr="00226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EB0F78">
              <w:rPr>
                <w:rFonts w:ascii="Times New Roman" w:hAnsi="Times New Roman" w:cs="Times New Roman"/>
                <w:b w:val="0"/>
                <w:szCs w:val="24"/>
              </w:rPr>
              <w:t>2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</w:rPr>
              <w:t xml:space="preserve">Заключение </w:t>
            </w:r>
          </w:p>
          <w:p w:rsidR="00D50C2E" w:rsidRPr="00EB0F78" w:rsidRDefault="00D50C2E" w:rsidP="00EB0F7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</w:rPr>
              <w:t>договора об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0F78">
              <w:rPr>
                <w:rFonts w:ascii="Times New Roman" w:hAnsi="Times New Roman" w:cs="Times New Roman"/>
                <w:color w:val="000000"/>
              </w:rPr>
              <w:t xml:space="preserve">осуществлении технологического присоединения к электрическим </w:t>
            </w:r>
          </w:p>
          <w:p w:rsidR="00D50C2E" w:rsidRPr="00EB0F78" w:rsidRDefault="00D50C2E" w:rsidP="00EB0F7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</w:rPr>
              <w:t>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Заявка, соответствующая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2.1. Направление заявителю сетевой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организацией проекта договора об осуществлении технологического присоединения в 2 экземплярах и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технических условий, как неотъемлемого приложения к договору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Письменная форма проекта договора, подписанного со стороны сетевой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организации, направляется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способом,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позволяющим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подтвердить факт получения, или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выдача заявителю в офисе обслуживания 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потребителей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ind w:right="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рабочих дней со дня получения заявки, либо со дня получения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недостающих сведений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Пункт 15 Правил технологического присоединения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50C2E" w:rsidRPr="007265E9" w:rsidTr="00226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Несогласие заявителя с представленным сетевой организацией проектом договора и (или) несоответствия его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2.2. Направление заявителем сетевой 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 мотивированного отказа от подписания проекта договора с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предложением об изменении 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представленного проекта договора и требованием о приведении его в 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C53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соответствие с Правилами 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Письменная или электронная</w:t>
            </w: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течение 10 рабочих дней со дня получения заявителем проекта договора</w:t>
            </w:r>
          </w:p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ind w:left="2501" w:hanging="25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ind w:righ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Пункт 15 Правил технологического присоединения</w:t>
            </w:r>
          </w:p>
        </w:tc>
      </w:tr>
      <w:tr w:rsidR="00D50C2E" w:rsidRPr="007265E9" w:rsidTr="00226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Согласие заявителя с представленным </w:t>
            </w:r>
          </w:p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сетевой организацией проектом договора и</w:t>
            </w:r>
          </w:p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(или) несоответствия его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ind w:right="4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bCs/>
              </w:rPr>
              <w:t xml:space="preserve">2.3. </w:t>
            </w:r>
            <w:r w:rsidRPr="006C534E">
              <w:rPr>
                <w:rFonts w:ascii="Times New Roman" w:hAnsi="Times New Roman" w:cs="Times New Roman"/>
                <w:sz w:val="21"/>
                <w:szCs w:val="21"/>
              </w:rPr>
              <w:t xml:space="preserve">Подписание заявителем двух 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ind w:right="4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sz w:val="21"/>
                <w:szCs w:val="21"/>
              </w:rPr>
              <w:t xml:space="preserve">экземпляров проекта договора и направление одного экземпляра 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4E">
              <w:rPr>
                <w:rFonts w:ascii="Times New Roman" w:hAnsi="Times New Roman" w:cs="Times New Roman"/>
                <w:sz w:val="21"/>
                <w:szCs w:val="21"/>
              </w:rPr>
              <w:t xml:space="preserve">сетевой организации с приложением к нему документов, подтверждающих </w:t>
            </w:r>
          </w:p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C534E">
              <w:rPr>
                <w:rFonts w:ascii="Times New Roman" w:hAnsi="Times New Roman" w:cs="Times New Roman"/>
                <w:sz w:val="21"/>
                <w:szCs w:val="21"/>
              </w:rPr>
              <w:t>полномочия лица, подписавшего такой договор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6C534E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течение 10 рабочих дней со дня получения заявителем проекта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EB0F78" w:rsidRDefault="00D50C2E" w:rsidP="00D50C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0F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Пункт 15 Правил технологического присоединения</w:t>
            </w:r>
          </w:p>
        </w:tc>
      </w:tr>
      <w:tr w:rsidR="00D50C2E" w:rsidRPr="007265E9" w:rsidTr="00226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EB0F78" w:rsidRDefault="00D50C2E" w:rsidP="00EB0F7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A08F9">
              <w:rPr>
                <w:rFonts w:ascii="Times New Roman" w:hAnsi="Times New Roman" w:cs="Times New Roman"/>
                <w:color w:val="000000"/>
              </w:rPr>
              <w:t>Ненаправление</w:t>
            </w:r>
            <w:proofErr w:type="spellEnd"/>
            <w:r w:rsidRPr="001A08F9">
              <w:rPr>
                <w:rFonts w:ascii="Times New Roman" w:hAnsi="Times New Roman" w:cs="Times New Roman"/>
                <w:color w:val="000000"/>
              </w:rPr>
              <w:t xml:space="preserve"> заявителем </w:t>
            </w:r>
          </w:p>
          <w:p w:rsidR="00D50C2E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подписанного проекта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08F9">
              <w:rPr>
                <w:rFonts w:ascii="Times New Roman" w:hAnsi="Times New Roman" w:cs="Times New Roman"/>
                <w:color w:val="000000"/>
              </w:rPr>
              <w:t>договора либо мотивированного отказа от его подписания</w:t>
            </w:r>
          </w:p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2.4. Поданная заявителем заявка аннулируется</w:t>
            </w:r>
          </w:p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ind w:right="46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Не ранее чем через 30</w:t>
            </w:r>
          </w:p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 xml:space="preserve">рабочих дней со дня получения заявителем </w:t>
            </w:r>
          </w:p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 xml:space="preserve">подписанного сетевой </w:t>
            </w:r>
          </w:p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организацией проекта договора и технических условий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D50C2E" w:rsidRPr="001A08F9" w:rsidTr="00226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1A08F9" w:rsidRDefault="00D50C2E" w:rsidP="00EB0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1A08F9" w:rsidRDefault="00D50C2E" w:rsidP="00EB0F7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Направление заявителем в течение 10 рабочих дней после получения от сетевой организации проекта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договора мотивированного отказа от подписания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этого проекта договора с требованием приведения его в соответствие с Правилами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bCs/>
              </w:rPr>
              <w:t xml:space="preserve">2.5. </w:t>
            </w:r>
            <w:r w:rsidRPr="001A08F9">
              <w:rPr>
                <w:rFonts w:ascii="Times New Roman" w:hAnsi="Times New Roman" w:cs="Times New Roman"/>
              </w:rPr>
              <w:t xml:space="preserve">Представление заявителю новой 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 xml:space="preserve">редакции проекта договора, приведенного в соответствие 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 xml:space="preserve">Правилам технологического присоединения, для подписания, а также технических условий (как неотъемлемого приложения к 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договору)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10 рабочих дней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с даты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8F9">
              <w:rPr>
                <w:rFonts w:ascii="Times New Roman" w:hAnsi="Times New Roman" w:cs="Times New Roman"/>
              </w:rPr>
              <w:t xml:space="preserve">получения от заявителя 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 xml:space="preserve">мотивированного требования о 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приведении проекта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 xml:space="preserve">договора в соответствие Правилам 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D50C2E" w:rsidRPr="001A08F9" w:rsidTr="001A0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 xml:space="preserve">Заключенный </w:t>
            </w:r>
          </w:p>
          <w:p w:rsidR="00D50C2E" w:rsidRPr="001A08F9" w:rsidRDefault="00D50C2E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договор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bCs/>
              </w:rPr>
              <w:t xml:space="preserve">2.6. </w:t>
            </w:r>
            <w:r w:rsidRPr="001A08F9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не позднее 2 рабочих дней с даты</w:t>
            </w:r>
          </w:p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E" w:rsidRPr="001A08F9" w:rsidRDefault="00D50C2E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1A08F9" w:rsidRPr="001A08F9" w:rsidTr="001A0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rPr>
                <w:rFonts w:ascii="Times New Roman" w:hAnsi="Times New Roman" w:cs="Times New Roman"/>
                <w:b w:val="0"/>
              </w:rPr>
            </w:pPr>
            <w:r w:rsidRPr="001A08F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 xml:space="preserve">3.1. Оплата услуг по договору об </w:t>
            </w:r>
          </w:p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осуществлении 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Пункты 16, 17 Правил технологического присоединения</w:t>
            </w:r>
          </w:p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08F9" w:rsidRPr="001A08F9" w:rsidTr="001A0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spacing w:line="28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Default="001A08F9" w:rsidP="001A08F9">
            <w:pPr>
              <w:widowControl w:val="0"/>
              <w:autoSpaceDE w:val="0"/>
              <w:autoSpaceDN w:val="0"/>
              <w:adjustRightInd w:val="0"/>
              <w:spacing w:line="254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3.2. Выполнение сетевой организацией мероприятий, </w:t>
            </w:r>
          </w:p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предусмотренных техническими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Пункты 16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A08F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A08F9">
              <w:rPr>
                <w:rFonts w:ascii="Times New Roman" w:hAnsi="Times New Roman" w:cs="Times New Roman"/>
                <w:color w:val="000000"/>
              </w:rPr>
              <w:t xml:space="preserve"> Правил технологического присоединения</w:t>
            </w:r>
          </w:p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8F9" w:rsidRPr="001A08F9" w:rsidTr="001A0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2260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spacing w:line="28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3.3. Выполнение заявителем </w:t>
            </w:r>
          </w:p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мероприятий, предусмотренных техническими условиями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Пункты 16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A08F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A08F9">
              <w:rPr>
                <w:rFonts w:ascii="Times New Roman" w:hAnsi="Times New Roman" w:cs="Times New Roman"/>
                <w:color w:val="000000"/>
              </w:rPr>
              <w:t xml:space="preserve"> Правил технологического присоединения</w:t>
            </w:r>
          </w:p>
        </w:tc>
      </w:tr>
      <w:tr w:rsidR="001A08F9" w:rsidRPr="001A08F9" w:rsidTr="001A0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spacing w:line="28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3.4</w:t>
            </w:r>
            <w:r w:rsidRPr="001A08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Направление уведомления </w:t>
            </w:r>
          </w:p>
          <w:p w:rsidR="001A08F9" w:rsidRDefault="001A08F9" w:rsidP="001A08F9">
            <w:pPr>
              <w:widowControl w:val="0"/>
              <w:autoSpaceDE w:val="0"/>
              <w:autoSpaceDN w:val="0"/>
              <w:adjustRightInd w:val="0"/>
              <w:spacing w:before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заявителем сетевой организации о </w:t>
            </w:r>
          </w:p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spacing w:before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выполнении технических условий с необходимым пакетом документов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>Пункты 16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A08F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A08F9">
              <w:rPr>
                <w:rFonts w:ascii="Times New Roman" w:hAnsi="Times New Roman" w:cs="Times New Roman"/>
                <w:color w:val="000000"/>
              </w:rPr>
              <w:t xml:space="preserve"> Правил технологического присоединения</w:t>
            </w:r>
          </w:p>
          <w:p w:rsidR="001A08F9" w:rsidRPr="001A08F9" w:rsidRDefault="001A08F9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1EDC" w:rsidRPr="001A08F9" w:rsidTr="001A0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rPr>
                <w:rFonts w:ascii="Times New Roman" w:hAnsi="Times New Roman" w:cs="Times New Roman"/>
                <w:b w:val="0"/>
              </w:rPr>
            </w:pPr>
            <w:r w:rsidRPr="001A08F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выполнения технических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4.1. Проверка соответствия </w:t>
            </w:r>
          </w:p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технических решений, параметров оборудования (устройств) и проведенных мероприятий </w:t>
            </w:r>
          </w:p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требованиям технических условий. Осмотр(обследование) электроустановок заявителей.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позднее 10 дней со дня получения от заявителя уведомления</w:t>
            </w:r>
          </w:p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 xml:space="preserve">Пункты </w:t>
            </w:r>
            <w:r>
              <w:rPr>
                <w:rFonts w:ascii="Times New Roman" w:hAnsi="Times New Roman" w:cs="Times New Roman"/>
                <w:color w:val="000000"/>
              </w:rPr>
              <w:t>82-90</w:t>
            </w:r>
            <w:r w:rsidRPr="001A08F9">
              <w:rPr>
                <w:rFonts w:ascii="Times New Roman" w:hAnsi="Times New Roman" w:cs="Times New Roman"/>
                <w:color w:val="000000"/>
              </w:rPr>
              <w:t xml:space="preserve"> Правил технологического присоединения</w:t>
            </w:r>
          </w:p>
        </w:tc>
      </w:tr>
      <w:tr w:rsidR="00431EDC" w:rsidRPr="001A08F9" w:rsidTr="00291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случае </w:t>
            </w:r>
          </w:p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выполнения заявителем требований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4.2. Выдача заявителю Акта о выполнении технических условий в 2</w:t>
            </w:r>
            <w:r w:rsidR="00D50C2E">
              <w:rPr>
                <w:rFonts w:ascii="Times New Roman" w:hAnsi="Times New Roman" w:cs="Times New Roman"/>
                <w:color w:val="000000"/>
              </w:rPr>
              <w:t>-х</w:t>
            </w:r>
            <w:r>
              <w:rPr>
                <w:rFonts w:ascii="Times New Roman" w:hAnsi="Times New Roman" w:cs="Times New Roman"/>
                <w:color w:val="000000"/>
              </w:rPr>
              <w:t xml:space="preserve"> экземплярах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день проведения осмотра; 3-дневный срок после проведения осмотра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08F9">
              <w:rPr>
                <w:rFonts w:ascii="Times New Roman" w:hAnsi="Times New Roman" w:cs="Times New Roman"/>
                <w:color w:val="000000"/>
              </w:rPr>
              <w:t xml:space="preserve">Пункты </w:t>
            </w:r>
            <w:r>
              <w:rPr>
                <w:rFonts w:ascii="Times New Roman" w:hAnsi="Times New Roman" w:cs="Times New Roman"/>
                <w:color w:val="000000"/>
              </w:rPr>
              <w:t>82-90</w:t>
            </w:r>
            <w:r w:rsidRPr="001A08F9">
              <w:rPr>
                <w:rFonts w:ascii="Times New Roman" w:hAnsi="Times New Roman" w:cs="Times New Roman"/>
                <w:color w:val="000000"/>
              </w:rPr>
              <w:t xml:space="preserve"> Правил технологического присоединения</w:t>
            </w:r>
          </w:p>
        </w:tc>
      </w:tr>
      <w:tr w:rsidR="00431EDC" w:rsidRPr="001A08F9" w:rsidTr="00313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4.3.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предусмотренном Разделом Х Основных положений функционирования розничных рынков электрической энергии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1A08F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1EDC" w:rsidRPr="001A08F9" w:rsidTr="0031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313CB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Невыполнение заявителем требований 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технических условий 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проектной документации по результатам проверки </w:t>
            </w:r>
          </w:p>
          <w:p w:rsidR="00D50C2E" w:rsidRPr="00D50C2E" w:rsidRDefault="00431EDC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выполнения заявителем </w:t>
            </w:r>
            <w:r w:rsidR="00D50C2E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313CB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4.4. Заявителю выдается перечень замечаний, выявленных в ходе проверки и подлежащих выполнению заявителем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день проведения осмотра; 3-дневный срок после проведения осмотра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313CB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89 Правил технологического присоединения</w:t>
            </w:r>
          </w:p>
        </w:tc>
      </w:tr>
      <w:tr w:rsidR="00431EDC" w:rsidRPr="001A08F9" w:rsidTr="00313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313CB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spacing w:line="245" w:lineRule="auto"/>
              <w:ind w:left="33" w:hanging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Уведомление заявителем сетевой 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spacing w:before="10" w:line="245" w:lineRule="auto"/>
              <w:ind w:left="33" w:hanging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организации об устранении замечаний 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spacing w:before="5"/>
              <w:ind w:left="33" w:hanging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приложением информации о принятых мерах по их устранению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4.5. Повторный осмотр электроустановки заявителя, выдача заявителю акта о выполнении 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технических условий после устранения всех замечаний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D50C2E" w:rsidP="00313CBC">
            <w:pPr>
              <w:widowControl w:val="0"/>
              <w:autoSpaceDE w:val="0"/>
              <w:autoSpaceDN w:val="0"/>
              <w:adjustRightInd w:val="0"/>
              <w:spacing w:line="249" w:lineRule="auto"/>
              <w:ind w:right="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позднее 3-х </w:t>
            </w:r>
            <w:r w:rsidR="00431EDC">
              <w:rPr>
                <w:rFonts w:ascii="Times New Roman" w:hAnsi="Times New Roman" w:cs="Times New Roman"/>
                <w:color w:val="000000"/>
              </w:rPr>
              <w:t xml:space="preserve">рабочих дней после получения от заявителя уведомления об устранении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431EDC">
              <w:rPr>
                <w:rFonts w:ascii="Times New Roman" w:hAnsi="Times New Roman" w:cs="Times New Roman"/>
                <w:color w:val="000000"/>
              </w:rPr>
              <w:t>амечаний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89 Правил технологического присоединения</w:t>
            </w:r>
          </w:p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1EDC" w:rsidRPr="001A08F9" w:rsidTr="0031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313CB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spacing w:line="245" w:lineRule="auto"/>
              <w:ind w:left="33" w:hanging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313CB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4.6. Заявитель возвращает в сетевую</w:t>
            </w:r>
          </w:p>
          <w:p w:rsidR="00431EDC" w:rsidRDefault="00431EDC" w:rsidP="00D50C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организацию один экземпляр подписанного со своей стороны акта о выполнении технических условий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313CBC">
            <w:pPr>
              <w:widowControl w:val="0"/>
              <w:autoSpaceDE w:val="0"/>
              <w:autoSpaceDN w:val="0"/>
              <w:adjustRightInd w:val="0"/>
              <w:spacing w:line="235" w:lineRule="auto"/>
              <w:ind w:right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день проведения осмотра в течении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313CBC" w:rsidRDefault="00431EDC" w:rsidP="00313CB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88 Правил технологического присоединения</w:t>
            </w:r>
          </w:p>
        </w:tc>
      </w:tr>
      <w:tr w:rsidR="00431EDC" w:rsidRPr="001A08F9" w:rsidTr="00313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431ED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ключительно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E">
              <w:rPr>
                <w:rFonts w:ascii="Times New Roman" w:hAnsi="Times New Roman" w:cs="Times New Roman"/>
                <w:color w:val="000000"/>
              </w:rPr>
              <w:t xml:space="preserve">4.7. </w:t>
            </w:r>
            <w:r>
              <w:rPr>
                <w:rFonts w:ascii="Times New Roman" w:hAnsi="Times New Roman" w:cs="Times New Roman"/>
                <w:color w:val="000000"/>
              </w:rPr>
              <w:t xml:space="preserve">Заявитель направляет в адрес </w:t>
            </w:r>
          </w:p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органа федерального государственного энергетического</w:t>
            </w:r>
          </w:p>
          <w:p w:rsidR="00431EDC" w:rsidRPr="00313CB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надзора уведомление о готовности на ввод в эксплуатацию объектов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313CBC" w:rsidRDefault="00431EDC" w:rsidP="00431EDC">
            <w:pPr>
              <w:widowControl w:val="0"/>
              <w:autoSpaceDE w:val="0"/>
              <w:autoSpaceDN w:val="0"/>
              <w:adjustRightInd w:val="0"/>
              <w:ind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13C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позднее 5 дней со дня оформления акта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13C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выполнении технических условий</w:t>
            </w:r>
          </w:p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ind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Пункты 7, 18(1) - 18(3), Правил </w:t>
            </w:r>
          </w:p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технологического присоединения</w:t>
            </w:r>
          </w:p>
        </w:tc>
      </w:tr>
      <w:tr w:rsidR="00431EDC" w:rsidRPr="001A08F9" w:rsidTr="0031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Pr="001A08F9" w:rsidRDefault="00431EDC" w:rsidP="00431ED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случаях присоединения по второй и первой категории надежности к электрическим 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сетям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4.8. Получение разрешения органа федерального государственного </w:t>
            </w:r>
          </w:p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энергетическогонадзора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допуск к 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эксплуатации объектов заявителя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1A08F9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8F9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ind w:right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1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условиями договора</w:t>
            </w:r>
          </w:p>
          <w:p w:rsidR="00431EDC" w:rsidRPr="00313CBC" w:rsidRDefault="00431EDC" w:rsidP="00431EDC">
            <w:pPr>
              <w:widowControl w:val="0"/>
              <w:autoSpaceDE w:val="0"/>
              <w:autoSpaceDN w:val="0"/>
              <w:adjustRightInd w:val="0"/>
              <w:ind w:right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ind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7 Правил технологического присоединения</w:t>
            </w:r>
          </w:p>
          <w:p w:rsid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1EDC" w:rsidRPr="00431EDC" w:rsidTr="00313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rPr>
                <w:rFonts w:ascii="Times New Roman" w:hAnsi="Times New Roman" w:cs="Times New Roman"/>
                <w:b w:val="0"/>
              </w:rPr>
            </w:pPr>
            <w:r w:rsidRPr="00431EDC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Присоединение объектов 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заявителя к электрическим 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Наличие подписанных 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сетевой организацией и заявителем акта о выполнении технических условий и акта допуска прибора учета к эксплуатации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5.1 Фактическое присоединение 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ind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ind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Пункты 7 Правил технологического присоединения</w:t>
            </w:r>
          </w:p>
          <w:p w:rsidR="00431EDC" w:rsidRPr="00431EDC" w:rsidRDefault="00431EDC" w:rsidP="00431E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2DC" w:rsidRPr="00431EDC" w:rsidTr="0031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rPr>
                <w:rFonts w:ascii="Times New Roman" w:hAnsi="Times New Roman" w:cs="Times New Roman"/>
                <w:b w:val="0"/>
              </w:rPr>
            </w:pPr>
            <w:r w:rsidRPr="00431ED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Составление акта об осуществлении технологического присоединения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Выполнение пункта 7 Правил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6.1. Оформление сетевой </w:t>
            </w:r>
            <w:r w:rsidR="00D50C2E">
              <w:rPr>
                <w:rFonts w:ascii="Times New Roman" w:hAnsi="Times New Roman" w:cs="Times New Roman"/>
                <w:color w:val="000000"/>
              </w:rPr>
              <w:t>о</w:t>
            </w:r>
            <w:bookmarkStart w:id="0" w:name="_GoBack"/>
            <w:bookmarkEnd w:id="0"/>
            <w:r w:rsidRPr="00431EDC">
              <w:rPr>
                <w:rFonts w:ascii="Times New Roman" w:hAnsi="Times New Roman" w:cs="Times New Roman"/>
                <w:color w:val="000000"/>
              </w:rPr>
              <w:t xml:space="preserve">рганизации и направление (выдача) заявителю акта об осуществлении </w:t>
            </w:r>
          </w:p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Не позднее 3 рабочих дней после осуществления </w:t>
            </w:r>
          </w:p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Сетевой организацией </w:t>
            </w:r>
          </w:p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 xml:space="preserve">фактического присоединения </w:t>
            </w:r>
          </w:p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объектов электроэнергетики (</w:t>
            </w:r>
            <w:proofErr w:type="spellStart"/>
            <w:r w:rsidRPr="00431EDC"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 w:rsidRPr="00431EDC">
              <w:rPr>
                <w:rFonts w:ascii="Times New Roman" w:hAnsi="Times New Roman" w:cs="Times New Roman"/>
                <w:color w:val="000000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431EDC" w:rsidRDefault="002B62DC" w:rsidP="00431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1EDC">
              <w:rPr>
                <w:rFonts w:ascii="Times New Roman" w:hAnsi="Times New Roman" w:cs="Times New Roman"/>
                <w:color w:val="000000"/>
              </w:rPr>
              <w:t>Пункты 7, 19 Правил технологического присоединения</w:t>
            </w:r>
          </w:p>
        </w:tc>
      </w:tr>
      <w:tr w:rsidR="002B62DC" w:rsidRPr="002B62DC" w:rsidTr="00313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 xml:space="preserve">Подписанный 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>сетевой организацией и заявителем акт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 xml:space="preserve">6.2. Направление сетевой организацией подписанных с 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 xml:space="preserve">заявителем актов в </w:t>
            </w:r>
            <w:proofErr w:type="spellStart"/>
            <w:r w:rsidRPr="002B62DC">
              <w:rPr>
                <w:rFonts w:ascii="Times New Roman" w:hAnsi="Times New Roman" w:cs="Times New Roman"/>
                <w:color w:val="000000"/>
              </w:rPr>
              <w:t>энергосбытовую</w:t>
            </w:r>
            <w:proofErr w:type="spellEnd"/>
            <w:r w:rsidRPr="002B62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>организацию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 xml:space="preserve">В течение 2 рабочих дней после 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 xml:space="preserve">предоставления 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>подписанных</w:t>
            </w:r>
          </w:p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>заявителем актов в сетевую организацию.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C" w:rsidRPr="002B62DC" w:rsidRDefault="002B62DC" w:rsidP="002B62D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2DC">
              <w:rPr>
                <w:rFonts w:ascii="Times New Roman" w:hAnsi="Times New Roman" w:cs="Times New Roman"/>
                <w:color w:val="000000"/>
              </w:rPr>
              <w:t>Пункт 19(1) Правил технологического присоединения</w:t>
            </w:r>
          </w:p>
        </w:tc>
      </w:tr>
    </w:tbl>
    <w:p w:rsidR="00956A2F" w:rsidRPr="00BC2E96" w:rsidRDefault="007265E9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956A2F" w:rsidRPr="00BC2E96">
        <w:rPr>
          <w:rFonts w:ascii="Times New Roman" w:hAnsi="Times New Roman" w:cs="Times New Roman"/>
          <w:b/>
          <w:bCs/>
          <w:color w:val="548DD4"/>
          <w:sz w:val="24"/>
          <w:szCs w:val="24"/>
        </w:rPr>
        <w:t>КОНТАКТНАЯ ИНФОРМАЦИЯ ДЛЯ НАПРАВЛЕНИЯ ОБРАЩЕНИИЙ:</w:t>
      </w:r>
    </w:p>
    <w:p w:rsidR="00956A2F" w:rsidRPr="00BE564B" w:rsidRDefault="00956A2F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Номер контакт центра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 (3822) 999-911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8-800-250-59-91</w:t>
      </w:r>
      <w:r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(звонок бесплатный)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A2F" w:rsidRPr="00BC2E96" w:rsidRDefault="00956A2F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Портал электросетевых услуг: </w:t>
      </w:r>
      <w:r w:rsidRPr="00BE564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https://www.gorsetitomsk.ru/</w:t>
      </w:r>
      <w:r w:rsidRPr="00BC2E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956A2F" w:rsidRPr="00BC2E96" w:rsidRDefault="00956A2F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hyperlink r:id="rId5" w:history="1">
        <w:r w:rsidR="00082E02" w:rsidRPr="00AD309F">
          <w:rPr>
            <w:rFonts w:ascii="Times New Roman" w:hAnsi="Times New Roman" w:cs="Times New Roman"/>
            <w:color w:val="0000FF"/>
            <w:sz w:val="24"/>
            <w:szCs w:val="24"/>
          </w:rPr>
          <w:t>admin@gorsetitomsk.ru</w:t>
        </w:r>
      </w:hyperlink>
      <w:r>
        <w:t>.</w:t>
      </w:r>
    </w:p>
    <w:p w:rsidR="00726588" w:rsidRDefault="00726588"/>
    <w:sectPr w:rsidR="00726588" w:rsidSect="0062289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94"/>
    <w:rsid w:val="00082E02"/>
    <w:rsid w:val="001A08F9"/>
    <w:rsid w:val="002260DC"/>
    <w:rsid w:val="002B62DC"/>
    <w:rsid w:val="00313CBC"/>
    <w:rsid w:val="00431EDC"/>
    <w:rsid w:val="00622894"/>
    <w:rsid w:val="006C534E"/>
    <w:rsid w:val="00726588"/>
    <w:rsid w:val="007265E9"/>
    <w:rsid w:val="00956A2F"/>
    <w:rsid w:val="00D50C2E"/>
    <w:rsid w:val="00E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3D99-5E53-49BE-95D0-25897BB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894"/>
    <w:rPr>
      <w:color w:val="0000FF"/>
      <w:u w:val="single"/>
    </w:rPr>
  </w:style>
  <w:style w:type="table" w:styleId="-35">
    <w:name w:val="List Table 3 Accent 5"/>
    <w:basedOn w:val="a1"/>
    <w:uiPriority w:val="48"/>
    <w:rsid w:val="00622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orsetitomsk.ru" TargetMode="External"/><Relationship Id="rId4" Type="http://schemas.openxmlformats.org/officeDocument/2006/relationships/hyperlink" Target="https://www.gorsetitomsk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Зоркова</dc:creator>
  <cp:keywords/>
  <dc:description/>
  <cp:lastModifiedBy>Зоркова</cp:lastModifiedBy>
  <cp:revision>7</cp:revision>
  <dcterms:created xsi:type="dcterms:W3CDTF">2024-09-25T07:44:00Z</dcterms:created>
  <dcterms:modified xsi:type="dcterms:W3CDTF">2024-10-31T07:44:00Z</dcterms:modified>
</cp:coreProperties>
</file>