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FE" w:rsidRDefault="005B2CFE" w:rsidP="005B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5130">
        <w:rPr>
          <w:rFonts w:ascii="Times New Roman" w:hAnsi="Times New Roman" w:cs="Times New Roman"/>
          <w:b/>
          <w:sz w:val="28"/>
          <w:szCs w:val="24"/>
        </w:rPr>
        <w:t>ПАСПОРТ УСЛУГИ (ПРОЦЕССА)</w:t>
      </w:r>
      <w:r>
        <w:rPr>
          <w:rFonts w:ascii="Times New Roman" w:hAnsi="Times New Roman" w:cs="Times New Roman"/>
          <w:b/>
          <w:sz w:val="28"/>
          <w:szCs w:val="24"/>
        </w:rPr>
        <w:t xml:space="preserve"> ОО</w:t>
      </w:r>
      <w:r w:rsidRPr="00975130">
        <w:rPr>
          <w:rFonts w:ascii="Times New Roman" w:hAnsi="Times New Roman" w:cs="Times New Roman"/>
          <w:b/>
          <w:sz w:val="28"/>
          <w:szCs w:val="24"/>
        </w:rPr>
        <w:t>О «</w:t>
      </w:r>
      <w:r>
        <w:rPr>
          <w:rFonts w:ascii="Times New Roman" w:hAnsi="Times New Roman" w:cs="Times New Roman"/>
          <w:b/>
          <w:sz w:val="28"/>
          <w:szCs w:val="24"/>
        </w:rPr>
        <w:t>ГОРСЕТИ</w:t>
      </w:r>
      <w:r w:rsidRPr="00975130">
        <w:rPr>
          <w:rFonts w:ascii="Times New Roman" w:hAnsi="Times New Roman" w:cs="Times New Roman"/>
          <w:b/>
          <w:sz w:val="28"/>
          <w:szCs w:val="24"/>
        </w:rPr>
        <w:t>»</w:t>
      </w:r>
    </w:p>
    <w:p w:rsidR="005B2CFE" w:rsidRPr="00975130" w:rsidRDefault="005B2CFE" w:rsidP="005B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3751" w:rsidRDefault="00ED3751" w:rsidP="00ED3751">
      <w:pPr>
        <w:widowControl w:val="0"/>
        <w:autoSpaceDE w:val="0"/>
        <w:autoSpaceDN w:val="0"/>
        <w:adjustRightInd w:val="0"/>
        <w:spacing w:after="0" w:line="312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ТЕХНОЛОГИЧЕСКОЕ ПРИСОЕДИНЕНИЕ К ЭЛЕКТРИЧЕСКИМ СЕТЯМ СЕТЕВОЙ ОРГАНИЗАЦИИ ПОСРЕДСТВОМ ПЕРЕРАСПРЕДЕЛЕНИЯ МАКСИМАЛЬНОЙ МОЩНОСТИ</w:t>
      </w:r>
    </w:p>
    <w:p w:rsidR="005B2CFE" w:rsidRDefault="005B2CFE" w:rsidP="005B2CFE">
      <w:pPr>
        <w:widowControl w:val="0"/>
        <w:autoSpaceDE w:val="0"/>
        <w:autoSpaceDN w:val="0"/>
        <w:adjustRightInd w:val="0"/>
        <w:spacing w:after="0" w:line="249" w:lineRule="auto"/>
        <w:ind w:right="60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ED3751" w:rsidRDefault="00ED3751" w:rsidP="00ED3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КРУГ ЗАЯВИТЕЛЕЙ: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юридическое лицо или индивидуальный предприниматель.</w:t>
      </w:r>
    </w:p>
    <w:p w:rsidR="00ED3751" w:rsidRDefault="00ED3751" w:rsidP="00ED3751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технологическое присоединение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рассчитывается с применением стандартизированных тарифных ставок, установленных уполномоченным органом исполнительной власти в области государственного регулирования тарифов (Приказ Департамента тарифного регулирования Томской области).</w:t>
      </w:r>
    </w:p>
    <w:p w:rsidR="00ED3751" w:rsidRDefault="00ED3751" w:rsidP="00ED3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УСЛОВИЯ ОКАЗАНИЯ УСЛУГИ (ПРОЦЕССА):</w:t>
      </w:r>
    </w:p>
    <w:p w:rsidR="00ED3751" w:rsidRDefault="00ED3751" w:rsidP="00ED3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Наличие соглашения о перераспределении мощности между заинтересованными лицами; наличие избытков мощности.</w:t>
      </w:r>
    </w:p>
    <w:p w:rsidR="00ED3751" w:rsidRDefault="00ED3751" w:rsidP="00ED3751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Перераспределение возможно в пределах действия одного центра питания (при осуществлении перераспределения максимальной мощности в электрических сетях классом напряжения от 0,4 до 35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центром питания считается питающая подстанция с классом напряжения 35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при осуществлении перераспределения максимальной мощности в электрических сетях классом напряжения свыше 35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центром питания считается распределительное устройство подстанции, к которому осуществлено технологическое присоединение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лица, перераспределяющего свою максимальную мощность).;</w:t>
      </w:r>
    </w:p>
    <w:p w:rsidR="00ED3751" w:rsidRDefault="00ED3751" w:rsidP="00ED3751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Заявители, отношении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снизить объем максимальной мощности.</w:t>
      </w:r>
    </w:p>
    <w:p w:rsidR="00ED3751" w:rsidRDefault="00ED3751" w:rsidP="00B33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допускается снижение объема максимальной мощности собственных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с одновременным перераспределением объема снижения максимальной мощности в пользу иных владельцев от объема максимальной мощности, указанной в документах о технологическом присоединении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устройств, следующими лицами:</w:t>
      </w:r>
    </w:p>
    <w:p w:rsidR="00ED3751" w:rsidRDefault="00ED3751" w:rsidP="00B33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юридические лица и индивидуальные предприниматели до 150 кВт (3 категория надежности);</w:t>
      </w:r>
    </w:p>
    <w:p w:rsidR="00B338EC" w:rsidRDefault="00ED3751" w:rsidP="00B33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лица, намеревающихся осуществить присоединение по временной схеме;</w:t>
      </w:r>
    </w:p>
    <w:p w:rsidR="00ED3751" w:rsidRDefault="00ED3751" w:rsidP="00B33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физические лица максимальная мощность которых составляет до 15 кВт включительно;</w:t>
      </w:r>
    </w:p>
    <w:p w:rsidR="00ED3751" w:rsidRDefault="00ED3751" w:rsidP="00B33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лица,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устройства которых присоединены к объектам электросетевого хозяйства, соответствующим критериям отнесения объектов к единой национальной (общероссийской) электрической сети;</w:t>
      </w:r>
    </w:p>
    <w:p w:rsidR="00ED3751" w:rsidRDefault="00ED3751" w:rsidP="00B33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лица, не внесшие плату за технологическое присоединение либо внесшие плату за технологическое присоединение не в полном объеме;</w:t>
      </w:r>
    </w:p>
    <w:p w:rsidR="00ED3751" w:rsidRDefault="00ED3751" w:rsidP="00B33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лица, осуществившие технологическое присоединение объектов по производству электрической энергии.</w:t>
      </w:r>
    </w:p>
    <w:p w:rsidR="00ED3751" w:rsidRDefault="00ED3751" w:rsidP="00B33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Потребители электрической энергии, энергоснабжение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которых осуществляется по третьей категории надежности электроснабжения, не вправе перераспределять свою максимальную мощность в пользу потребителей, энергоснабжение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которых осуществляется по первой или второй категориям надежности электроснабжения.</w:t>
      </w:r>
    </w:p>
    <w:p w:rsidR="00ED3751" w:rsidRDefault="00ED3751" w:rsidP="00ED3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Допускается перераспределение объема максимальной мощности нескольких лиц в пользу одного лица в пределах действия одного центра питания.</w:t>
      </w:r>
    </w:p>
    <w:p w:rsidR="00ED3751" w:rsidRDefault="00ED3751" w:rsidP="00ED3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РЕЗУЛЬТАТ ОКАЗАНИЯ УСЛУГИ (ПРОЦЕССА):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технологическое присоединение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Заявителя посредством перераспределения мощности.</w:t>
      </w:r>
    </w:p>
    <w:p w:rsidR="00ED3751" w:rsidRDefault="00ED3751" w:rsidP="00ED3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ОБЩИЙ СРОК ОКАЗАНИЯ УСЛУГИ (ПРОЦЕССА):</w:t>
      </w:r>
    </w:p>
    <w:p w:rsidR="00ED3751" w:rsidRPr="00ED3751" w:rsidRDefault="00ED3751" w:rsidP="00ED375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4"/>
        </w:rPr>
      </w:pPr>
      <w:r w:rsidRPr="00ED3751">
        <w:rPr>
          <w:rFonts w:ascii="Times New Roman" w:hAnsi="Times New Roman" w:cs="Times New Roman"/>
          <w:color w:val="000000"/>
          <w:sz w:val="24"/>
        </w:rPr>
        <w:t xml:space="preserve">30 дней в случае отсутствия необходимости строительства (реконструкции) объектов электросетевого хозяйства от существующих объектов электросетевого хозяйства сетевой организации до границ участка заявителя и (или) отсутствия необходимости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энергии. Срок осуществления мероприятий по технологическому присоединению </w:t>
      </w:r>
      <w:proofErr w:type="spellStart"/>
      <w:r w:rsidRPr="00ED3751">
        <w:rPr>
          <w:rFonts w:ascii="Times New Roman" w:hAnsi="Times New Roman" w:cs="Times New Roman"/>
          <w:color w:val="000000"/>
          <w:sz w:val="24"/>
        </w:rPr>
        <w:t>энергопринимающих</w:t>
      </w:r>
      <w:proofErr w:type="spellEnd"/>
      <w:r w:rsidRPr="00ED3751">
        <w:rPr>
          <w:rFonts w:ascii="Times New Roman" w:hAnsi="Times New Roman" w:cs="Times New Roman"/>
          <w:color w:val="000000"/>
          <w:sz w:val="24"/>
        </w:rPr>
        <w:t xml:space="preserve"> устройств лиц, в пользу которых предполагается перераспределить максимальную мощность, при технологическом присоединении таких лиц к электрическим сетям классом напряжения до 20 </w:t>
      </w:r>
      <w:proofErr w:type="spellStart"/>
      <w:r w:rsidRPr="00ED3751">
        <w:rPr>
          <w:rFonts w:ascii="Times New Roman" w:hAnsi="Times New Roman" w:cs="Times New Roman"/>
          <w:color w:val="000000"/>
          <w:sz w:val="24"/>
        </w:rPr>
        <w:t>кВ</w:t>
      </w:r>
      <w:proofErr w:type="spellEnd"/>
      <w:r w:rsidRPr="00ED3751">
        <w:rPr>
          <w:rFonts w:ascii="Times New Roman" w:hAnsi="Times New Roman" w:cs="Times New Roman"/>
          <w:color w:val="000000"/>
          <w:sz w:val="24"/>
        </w:rPr>
        <w:t xml:space="preserve"> включительно, если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ED3751">
        <w:rPr>
          <w:rFonts w:ascii="Times New Roman" w:hAnsi="Times New Roman" w:cs="Times New Roman"/>
          <w:color w:val="000000"/>
          <w:sz w:val="24"/>
        </w:rPr>
        <w:t>энергопринимающие</w:t>
      </w:r>
      <w:proofErr w:type="spellEnd"/>
      <w:r w:rsidRPr="00ED3751">
        <w:rPr>
          <w:rFonts w:ascii="Times New Roman" w:hAnsi="Times New Roman" w:cs="Times New Roman"/>
          <w:color w:val="000000"/>
          <w:sz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</w:t>
      </w:r>
      <w:proofErr w:type="spellStart"/>
      <w:r w:rsidRPr="00ED3751">
        <w:rPr>
          <w:rFonts w:ascii="Times New Roman" w:hAnsi="Times New Roman" w:cs="Times New Roman"/>
          <w:color w:val="000000"/>
          <w:sz w:val="24"/>
        </w:rPr>
        <w:t>энергопринимающих</w:t>
      </w:r>
      <w:proofErr w:type="spellEnd"/>
      <w:r w:rsidRPr="00ED3751">
        <w:rPr>
          <w:rFonts w:ascii="Times New Roman" w:hAnsi="Times New Roman" w:cs="Times New Roman"/>
          <w:color w:val="000000"/>
          <w:sz w:val="24"/>
        </w:rPr>
        <w:t xml:space="preserve"> устройств потребителя и (или) объектов электроэнергетики, не может превышать: 120 дней – для заявителей, максимальная мощность </w:t>
      </w:r>
      <w:proofErr w:type="spellStart"/>
      <w:r w:rsidRPr="00ED3751">
        <w:rPr>
          <w:rFonts w:ascii="Times New Roman" w:hAnsi="Times New Roman" w:cs="Times New Roman"/>
          <w:color w:val="000000"/>
          <w:sz w:val="24"/>
        </w:rPr>
        <w:t>энергопринимающих</w:t>
      </w:r>
      <w:proofErr w:type="spellEnd"/>
      <w:r w:rsidRPr="00ED3751">
        <w:rPr>
          <w:rFonts w:ascii="Times New Roman" w:hAnsi="Times New Roman" w:cs="Times New Roman"/>
          <w:color w:val="000000"/>
          <w:sz w:val="24"/>
        </w:rPr>
        <w:t xml:space="preserve"> устройств которых составляет до 670 кВт; 1 год – для заявителей, максимальная мощность </w:t>
      </w:r>
      <w:proofErr w:type="spellStart"/>
      <w:r w:rsidRPr="00ED3751">
        <w:rPr>
          <w:rFonts w:ascii="Times New Roman" w:hAnsi="Times New Roman" w:cs="Times New Roman"/>
          <w:color w:val="000000"/>
          <w:sz w:val="24"/>
        </w:rPr>
        <w:t>энергопринимающих</w:t>
      </w:r>
      <w:proofErr w:type="spellEnd"/>
      <w:r w:rsidRPr="00ED3751">
        <w:rPr>
          <w:rFonts w:ascii="Times New Roman" w:hAnsi="Times New Roman" w:cs="Times New Roman"/>
          <w:color w:val="000000"/>
          <w:sz w:val="24"/>
        </w:rPr>
        <w:t xml:space="preserve"> устройств которых составляет свыше 670 кВт. В случае если необходимо выполнить работы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мероприятия по технологическому присоединению выполняются сетевой организацией в следующие сроки: 6 месяцев – если технологическое присоединение осуществляется к электрическим сетям, уровень напряжения которых составляет до 20 </w:t>
      </w:r>
      <w:proofErr w:type="spellStart"/>
      <w:r w:rsidRPr="00ED3751">
        <w:rPr>
          <w:rFonts w:ascii="Times New Roman" w:hAnsi="Times New Roman" w:cs="Times New Roman"/>
          <w:color w:val="000000"/>
          <w:sz w:val="24"/>
        </w:rPr>
        <w:t>кВ</w:t>
      </w:r>
      <w:proofErr w:type="spellEnd"/>
      <w:r w:rsidRPr="00ED3751">
        <w:rPr>
          <w:rFonts w:ascii="Times New Roman" w:hAnsi="Times New Roman" w:cs="Times New Roman"/>
          <w:color w:val="000000"/>
          <w:sz w:val="24"/>
        </w:rPr>
        <w:t xml:space="preserve">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ED3751">
        <w:rPr>
          <w:rFonts w:ascii="Times New Roman" w:hAnsi="Times New Roman" w:cs="Times New Roman"/>
          <w:color w:val="000000"/>
          <w:sz w:val="24"/>
        </w:rPr>
        <w:t>энергопринимающие</w:t>
      </w:r>
      <w:proofErr w:type="spellEnd"/>
      <w:r w:rsidRPr="00ED3751">
        <w:rPr>
          <w:rFonts w:ascii="Times New Roman" w:hAnsi="Times New Roman" w:cs="Times New Roman"/>
          <w:color w:val="000000"/>
          <w:sz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 1 год – для заявителей, максимальная мощность </w:t>
      </w:r>
      <w:proofErr w:type="spellStart"/>
      <w:r w:rsidRPr="00ED3751">
        <w:rPr>
          <w:rFonts w:ascii="Times New Roman" w:hAnsi="Times New Roman" w:cs="Times New Roman"/>
          <w:color w:val="000000"/>
          <w:sz w:val="24"/>
        </w:rPr>
        <w:t>энергопринимающих</w:t>
      </w:r>
      <w:proofErr w:type="spellEnd"/>
      <w:r w:rsidRPr="00ED3751">
        <w:rPr>
          <w:rFonts w:ascii="Times New Roman" w:hAnsi="Times New Roman" w:cs="Times New Roman"/>
          <w:color w:val="000000"/>
          <w:sz w:val="24"/>
        </w:rPr>
        <w:t xml:space="preserve"> устройств которых составляет менее 670 кВт; 2 года – для заявителей, максимальная мощность </w:t>
      </w:r>
      <w:proofErr w:type="spellStart"/>
      <w:r w:rsidRPr="00ED3751">
        <w:rPr>
          <w:rFonts w:ascii="Times New Roman" w:hAnsi="Times New Roman" w:cs="Times New Roman"/>
          <w:color w:val="000000"/>
          <w:sz w:val="24"/>
        </w:rPr>
        <w:t>энергопринимающих</w:t>
      </w:r>
      <w:proofErr w:type="spellEnd"/>
      <w:r w:rsidRPr="00ED3751">
        <w:rPr>
          <w:rFonts w:ascii="Times New Roman" w:hAnsi="Times New Roman" w:cs="Times New Roman"/>
          <w:color w:val="000000"/>
          <w:sz w:val="24"/>
        </w:rPr>
        <w:t xml:space="preserve"> устройств которых составляет не менее 670 кВт По инициативе (обращению) заявителя договором могут быть установлены иные сроки (но не более 4 лет).</w:t>
      </w:r>
    </w:p>
    <w:p w:rsidR="005B2CFE" w:rsidRDefault="005B2CFE" w:rsidP="005B2CFE">
      <w:pPr>
        <w:widowControl w:val="0"/>
        <w:autoSpaceDE w:val="0"/>
        <w:autoSpaceDN w:val="0"/>
        <w:adjustRightInd w:val="0"/>
        <w:spacing w:before="10" w:after="0" w:line="274" w:lineRule="exact"/>
        <w:ind w:firstLine="566"/>
        <w:rPr>
          <w:rFonts w:ascii="Times New Roman" w:hAnsi="Times New Roman" w:cs="Times New Roman"/>
          <w:sz w:val="24"/>
          <w:szCs w:val="24"/>
        </w:rPr>
      </w:pPr>
    </w:p>
    <w:p w:rsidR="005B2CFE" w:rsidRDefault="005B2CFE" w:rsidP="005B2CFE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2E74B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/>
          <w:sz w:val="24"/>
          <w:szCs w:val="24"/>
        </w:rPr>
        <w:t>СОСТАВ, ПОСЛЕДОВАТЕЛЬНОСТЬ И СРОКИ ОКАЗАНИЯ УСЛУГИ (ПРОЦЕССА):</w:t>
      </w:r>
    </w:p>
    <w:p w:rsidR="005B2CFE" w:rsidRDefault="005B2CFE" w:rsidP="005B2CFE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35"/>
        <w:tblW w:w="156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9"/>
        <w:gridCol w:w="2054"/>
        <w:gridCol w:w="2410"/>
        <w:gridCol w:w="3746"/>
        <w:gridCol w:w="1995"/>
        <w:gridCol w:w="2348"/>
        <w:gridCol w:w="2562"/>
      </w:tblGrid>
      <w:tr w:rsidR="005B2CFE" w:rsidRPr="00BC2E96" w:rsidTr="00ED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этапа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предоставления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Ссылка на нормативный правовой акт</w:t>
            </w:r>
          </w:p>
        </w:tc>
      </w:tr>
      <w:tr w:rsidR="008C0150" w:rsidRPr="00ED3751" w:rsidTr="00D34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50" w:rsidRPr="00ED3751" w:rsidRDefault="008C0150" w:rsidP="00ED3751">
            <w:pPr>
              <w:rPr>
                <w:rFonts w:ascii="Times New Roman" w:hAnsi="Times New Roman" w:cs="Times New Roman"/>
                <w:b w:val="0"/>
              </w:rPr>
            </w:pPr>
            <w:r w:rsidRPr="00ED375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50" w:rsidRPr="00ED3751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3751">
              <w:rPr>
                <w:rFonts w:ascii="Times New Roman" w:hAnsi="Times New Roman" w:cs="Times New Roman"/>
                <w:color w:val="000000"/>
              </w:rPr>
              <w:t xml:space="preserve">Уведомление </w:t>
            </w:r>
          </w:p>
          <w:p w:rsidR="008C0150" w:rsidRPr="00ED3751" w:rsidRDefault="008C0150" w:rsidP="00B338E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3751">
              <w:rPr>
                <w:rFonts w:ascii="Times New Roman" w:hAnsi="Times New Roman" w:cs="Times New Roman"/>
                <w:color w:val="000000"/>
              </w:rPr>
              <w:t>сетевой организации о перераспределении мощности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Заключенное 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соглашение между заинтересованными лицами о 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перераспределении максимальной мощности</w:t>
            </w:r>
          </w:p>
          <w:p w:rsidR="008C0150" w:rsidRPr="00ED3751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Pr="00ED3751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D3751">
              <w:rPr>
                <w:rFonts w:ascii="Times New Roman" w:hAnsi="Times New Roman" w:cs="Times New Roman"/>
                <w:color w:val="000000"/>
              </w:rPr>
              <w:t xml:space="preserve">1.1. </w:t>
            </w:r>
            <w:r>
              <w:rPr>
                <w:rFonts w:ascii="Times New Roman" w:hAnsi="Times New Roman" w:cs="Times New Roman"/>
                <w:color w:val="000000"/>
              </w:rPr>
              <w:t>Лица, заключившие соглашение о перераспределении мощности,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направляют в сетевую организацию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уведомление о перераспределении, в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котором указываются наименования и реквизиты сторон соглашения о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перераспределении мощности, центр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питания, к которому осуществлено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технологическое присоединение</w:t>
            </w:r>
            <w:r w:rsidR="00B338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устройств лица, намеревающегося перераспределить свою максимальную мощность, местонахождение этих устройств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(электрических сетей) и объем</w:t>
            </w:r>
            <w:r w:rsidR="00B338E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перераспределяемой мощности. К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уведомлению о перераспределении</w:t>
            </w:r>
          </w:p>
          <w:p w:rsidR="00B338EC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прилагаются:</w:t>
            </w:r>
          </w:p>
          <w:p w:rsidR="008C0150" w:rsidRDefault="00B338EC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C0150">
              <w:rPr>
                <w:rFonts w:ascii="Times New Roman" w:hAnsi="Times New Roman" w:cs="Times New Roman"/>
                <w:color w:val="000000"/>
              </w:rPr>
              <w:t xml:space="preserve"> копии технических условий, выданных лицу, максимальная мощность </w:t>
            </w:r>
            <w:proofErr w:type="spellStart"/>
            <w:r w:rsidR="008C0150"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  <w:r w:rsidR="008C0150">
              <w:rPr>
                <w:rFonts w:ascii="Times New Roman" w:hAnsi="Times New Roman" w:cs="Times New Roman"/>
                <w:color w:val="000000"/>
              </w:rPr>
              <w:t xml:space="preserve"> устройств которого перераспределяется;</w:t>
            </w:r>
          </w:p>
          <w:p w:rsidR="008C0150" w:rsidRDefault="00B338EC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C0150">
              <w:rPr>
                <w:rFonts w:ascii="Times New Roman" w:hAnsi="Times New Roman" w:cs="Times New Roman"/>
                <w:color w:val="000000"/>
              </w:rPr>
              <w:t xml:space="preserve"> копия акта об осуществлении технологического присоединения;</w:t>
            </w:r>
          </w:p>
          <w:p w:rsidR="008C0150" w:rsidRDefault="00B338EC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C0150">
              <w:rPr>
                <w:rFonts w:ascii="Times New Roman" w:hAnsi="Times New Roman" w:cs="Times New Roman"/>
                <w:color w:val="000000"/>
              </w:rPr>
              <w:t xml:space="preserve"> заявка на технологическое присоединение </w:t>
            </w:r>
            <w:proofErr w:type="spellStart"/>
            <w:r w:rsidR="008C0150"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устройств лица, в пользу которого</w:t>
            </w:r>
            <w:r w:rsidR="00B338E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предполагается перераспределить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избыток максимальной мощности;</w:t>
            </w:r>
          </w:p>
          <w:p w:rsidR="008C0150" w:rsidRDefault="00B338EC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0150">
              <w:rPr>
                <w:rFonts w:ascii="Times New Roman" w:hAnsi="Times New Roman" w:cs="Times New Roman"/>
                <w:color w:val="000000"/>
              </w:rPr>
              <w:t>заверенная копия заключенного соглашения о перераспределении</w:t>
            </w:r>
          </w:p>
          <w:p w:rsidR="008C0150" w:rsidRPr="00ED3751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338EC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ощности</w:t>
            </w:r>
            <w:r w:rsidR="00B338EC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письменной форме</w:t>
            </w:r>
          </w:p>
          <w:p w:rsidR="008C0150" w:rsidRPr="00ED3751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Pr="00ED3751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3751">
              <w:rPr>
                <w:rFonts w:ascii="Times New Roman" w:hAnsi="Times New Roman" w:cs="Times New Roman"/>
              </w:rPr>
              <w:t>Не ограничен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8C0150" w:rsidRPr="00ED3751" w:rsidRDefault="008C0150" w:rsidP="008C0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 34 Правил 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технологического </w:t>
            </w:r>
          </w:p>
          <w:p w:rsidR="008C0150" w:rsidRPr="00ED3751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присоединения  </w:t>
            </w:r>
          </w:p>
        </w:tc>
      </w:tr>
      <w:tr w:rsidR="008C0150" w:rsidRPr="00ED3751" w:rsidTr="008C0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50" w:rsidRPr="00ED3751" w:rsidRDefault="008C0150" w:rsidP="00ED375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50" w:rsidRPr="00ED3751" w:rsidRDefault="008C0150" w:rsidP="00ED375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P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Технические условия, </w:t>
            </w:r>
          </w:p>
          <w:p w:rsidR="008C0150" w:rsidRP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которые сетевая</w:t>
            </w:r>
            <w:r w:rsidR="00B338E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организация должна выдать лицу, в пользу </w:t>
            </w:r>
          </w:p>
          <w:p w:rsidR="008C0150" w:rsidRP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которого предполагается перераспределить максимальную мощность, в соответствии с </w:t>
            </w:r>
          </w:p>
          <w:p w:rsidR="008C0150" w:rsidRP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настоящими Правилами подлежат согласованию с субъектом оперативно-диспетчерского </w:t>
            </w:r>
          </w:p>
          <w:p w:rsidR="008C0150" w:rsidRP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управления. Технические условия, ранее выданные лицу, максимальная мощность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устройств которого </w:t>
            </w:r>
          </w:p>
          <w:p w:rsidR="008C0150" w:rsidRP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перераспределяется, в </w:t>
            </w:r>
          </w:p>
          <w:p w:rsidR="008C0150" w:rsidRP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соответствии с </w:t>
            </w:r>
          </w:p>
          <w:p w:rsidR="008C0150" w:rsidRP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настоящими Правилами были согласованы с </w:t>
            </w:r>
          </w:p>
          <w:p w:rsidR="008C0150" w:rsidRP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субъектом оперативно-диспетчерского </w:t>
            </w:r>
          </w:p>
          <w:p w:rsidR="008C0150" w:rsidRP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P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C0150">
              <w:rPr>
                <w:rFonts w:ascii="Times New Roman" w:hAnsi="Times New Roman" w:cs="Times New Roman"/>
                <w:color w:val="000000"/>
              </w:rPr>
              <w:t xml:space="preserve">1.2. 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Направление сетевой</w:t>
            </w:r>
          </w:p>
          <w:p w:rsidR="008C0150" w:rsidRP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организацией копии уведомления о перераспределении, а также</w:t>
            </w:r>
          </w:p>
          <w:p w:rsidR="008C0150" w:rsidRP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копии, приложенных к нему</w:t>
            </w:r>
          </w:p>
          <w:p w:rsidR="008C0150" w:rsidRP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документов субъекту оперативно-диспетчерского управления</w:t>
            </w:r>
          </w:p>
          <w:p w:rsidR="008C0150" w:rsidRPr="00ED3751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P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письменной форме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5 рабочих дней со дня 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получения 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уведомления о </w:t>
            </w:r>
          </w:p>
          <w:p w:rsidR="008C0150" w:rsidRPr="00ED3751" w:rsidRDefault="008C0150" w:rsidP="00B338E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перераспределении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Pr="00B338EC" w:rsidRDefault="008C0150" w:rsidP="00B338E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 34 Правил </w:t>
            </w:r>
            <w:r w:rsidR="00B338EC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ехнологического</w:t>
            </w:r>
            <w:r w:rsidR="00B338E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присоединения  </w:t>
            </w:r>
          </w:p>
        </w:tc>
      </w:tr>
      <w:tr w:rsidR="008C0150" w:rsidRPr="00ED3751" w:rsidTr="00565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Pr="00565995" w:rsidRDefault="008C0150" w:rsidP="008C0150">
            <w:pPr>
              <w:rPr>
                <w:rFonts w:ascii="Times New Roman" w:hAnsi="Times New Roman" w:cs="Times New Roman"/>
                <w:b w:val="0"/>
              </w:rPr>
            </w:pPr>
            <w:r w:rsidRPr="00565995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Pr="00565995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565995">
              <w:rPr>
                <w:rFonts w:ascii="Times New Roman" w:hAnsi="Times New Roman" w:cs="Times New Roman"/>
                <w:color w:val="000000"/>
              </w:rPr>
              <w:t>Заключение с заявителем договора об осуществлении технологического присоединения к электрическим сетям и исполнение указанного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Соглашение между заинтересованными лицами о 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перераспределении максимальной 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мощности и уведомление </w:t>
            </w:r>
          </w:p>
          <w:p w:rsidR="008C0150" w:rsidRDefault="008C0150" w:rsidP="00B338E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соответствуют требованиям Правил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150">
              <w:rPr>
                <w:rFonts w:ascii="Times New Roman" w:hAnsi="Times New Roman" w:cs="Times New Roman"/>
                <w:color w:val="000000"/>
              </w:rPr>
              <w:t xml:space="preserve">2.1.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Выполняются этапы, 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предусмотренные паспортами услуг с кодами 2.1.1, 2.1.2, 2.1.3, 2.1.4 (в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зависимости от категории заявителя и характеристик присоединяемых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устройств), с учетом условий, содержащихся в 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настоящем паспорте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548DD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37 Правил технологического присоединения</w:t>
            </w:r>
          </w:p>
          <w:p w:rsidR="008C0150" w:rsidRDefault="008C0150" w:rsidP="008C015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5995" w:rsidRPr="00ED3751" w:rsidTr="00565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5" w:rsidRPr="00565995" w:rsidRDefault="00565995" w:rsidP="008C0150">
            <w:pPr>
              <w:rPr>
                <w:rFonts w:ascii="Times New Roman" w:hAnsi="Times New Roman" w:cs="Times New Roman"/>
                <w:b w:val="0"/>
              </w:rPr>
            </w:pPr>
            <w:r w:rsidRPr="00565995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5" w:rsidRPr="00565995" w:rsidRDefault="00565995" w:rsidP="00565995">
            <w:pPr>
              <w:widowControl w:val="0"/>
              <w:autoSpaceDE w:val="0"/>
              <w:autoSpaceDN w:val="0"/>
              <w:adjustRightInd w:val="0"/>
              <w:spacing w:line="24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по уменьшению максимальной мощности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Лицо, заключившее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соглашение о перераспределении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5" w:line="24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мощности, максимальная мощность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2" w:line="24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устройств которого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перераспределяется,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10" w:line="24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обязано осуществить необходимые действия по уменьшению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4" w:line="24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максимальной мощности своих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line="30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устройств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Сетевая организация обязана направить лицу, максимальная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мощность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устройств которого перераспределяется по соглашению о перераспределении мощности,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информацию об изменениях, внесенных в ранее выданные ему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технические условия</w:t>
            </w:r>
          </w:p>
          <w:p w:rsidR="00565995" w:rsidRPr="008C0150" w:rsidRDefault="00565995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письменной форме</w:t>
            </w:r>
          </w:p>
          <w:p w:rsidR="00565995" w:rsidRDefault="00565995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позднее 10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рабочих дней со</w:t>
            </w:r>
            <w:r w:rsidR="00B338E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дня выдачи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технических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10" w:line="24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условий лицу, в пользу которого перераспределяется максимальная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мощность по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соглашению о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5" w:line="30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перераспределении мощности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38 Правил технологического присоединения</w:t>
            </w:r>
          </w:p>
          <w:p w:rsidR="00565995" w:rsidRDefault="00565995" w:rsidP="008C015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5995" w:rsidRPr="00ED3751" w:rsidTr="00565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5" w:rsidRPr="00565995" w:rsidRDefault="00565995" w:rsidP="008C0150">
            <w:pPr>
              <w:rPr>
                <w:rFonts w:ascii="Times New Roman" w:hAnsi="Times New Roman" w:cs="Times New Roman"/>
                <w:b w:val="0"/>
              </w:rPr>
            </w:pPr>
            <w:r w:rsidRPr="00565995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</w:t>
            </w:r>
          </w:p>
          <w:p w:rsidR="00565995" w:rsidRDefault="00565995" w:rsidP="00B338EC">
            <w:pPr>
              <w:widowControl w:val="0"/>
              <w:autoSpaceDE w:val="0"/>
              <w:autoSpaceDN w:val="0"/>
              <w:adjustRightInd w:val="0"/>
              <w:spacing w:before="1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сетевой организацией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10" w:line="247" w:lineRule="auto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фактического присоединения объектов заявителя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4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электрическим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5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сетям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line="24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фактического приема (подачи) напряжения и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мощности (до выполнения в полном объеме технических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4"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условий лицом, максимальная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мощность которого перераспределяется, а также лицом, в пользу которого осуществляется перераспределение мощности,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присоединение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энергопринимающ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их устройств лица, в пользу которого перераспределена максимальная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мощность,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производится)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подписанных сетевой организацией и заявителем акта о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выполнении технических условий и акта допуска прибора учета к эксплуатации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4.1. Комплекс технических и организационных мероприятий,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обеспечивающих физическое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10"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соединение (контакт) объектов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line="24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электросетевого хозяйства сетевой организации, в которую была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6"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подана заявка, и объектов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2" w:line="24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электроэнергетики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устройств) заявителя без осуществления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фактической подачи (приема) напряжения и мощности на объекты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2" w:line="24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заявителя (фиксация коммутационного аппарата в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положении «Отключено»).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10"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Фактический прием (подача)</w:t>
            </w:r>
          </w:p>
          <w:p w:rsidR="00565995" w:rsidRDefault="00565995" w:rsidP="00B338EC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напряжения и мощности осуществляется путем включения 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spacing w:before="10" w:line="24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коммутационного аппарата (фиксация коммутационного аппарата в положении «Включено»)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условиями договора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7 Правил технологического присоединения</w:t>
            </w:r>
          </w:p>
          <w:p w:rsidR="00565995" w:rsidRDefault="00565995" w:rsidP="0056599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47C8" w:rsidRPr="00ED3751" w:rsidTr="00175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7C8" w:rsidRPr="00565995" w:rsidRDefault="001C47C8" w:rsidP="008C015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7C8">
              <w:rPr>
                <w:rFonts w:ascii="Times New Roman" w:hAnsi="Times New Roman" w:cs="Times New Roman"/>
              </w:rPr>
              <w:t xml:space="preserve">Составление акта об осуществлении </w:t>
            </w:r>
          </w:p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47C8">
              <w:rPr>
                <w:rFonts w:ascii="Times New Roman" w:hAnsi="Times New Roman" w:cs="Times New Roman"/>
              </w:rPr>
              <w:t>технологического присоединения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7C8">
              <w:rPr>
                <w:rFonts w:ascii="Times New Roman" w:hAnsi="Times New Roman" w:cs="Times New Roman"/>
              </w:rPr>
              <w:t xml:space="preserve">Выполнение пункта 7 Правил </w:t>
            </w:r>
          </w:p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47C8">
              <w:rPr>
                <w:rFonts w:ascii="Times New Roman" w:hAnsi="Times New Roman" w:cs="Times New Roman"/>
              </w:rPr>
              <w:t>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7C8">
              <w:rPr>
                <w:rFonts w:ascii="Times New Roman" w:hAnsi="Times New Roman" w:cs="Times New Roman"/>
                <w:bCs/>
              </w:rPr>
              <w:t>5.1</w:t>
            </w:r>
            <w:r w:rsidRPr="001C47C8">
              <w:rPr>
                <w:rFonts w:ascii="Times New Roman" w:hAnsi="Times New Roman" w:cs="Times New Roman"/>
              </w:rPr>
              <w:t xml:space="preserve">. Оформление сетевой организации и направление (выдача) заявителю акта об осуществлении </w:t>
            </w:r>
          </w:p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47C8">
              <w:rPr>
                <w:rFonts w:ascii="Times New Roman" w:hAnsi="Times New Roman" w:cs="Times New Roman"/>
              </w:rPr>
              <w:t>технологического присоединения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7C8">
              <w:rPr>
                <w:rFonts w:ascii="Times New Roman" w:hAnsi="Times New Roman" w:cs="Times New Roman"/>
              </w:rPr>
              <w:t>Письменная или электронная</w:t>
            </w:r>
          </w:p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7C8">
              <w:rPr>
                <w:rFonts w:ascii="Times New Roman" w:hAnsi="Times New Roman" w:cs="Times New Roman"/>
              </w:rPr>
              <w:t xml:space="preserve">Не позднее 3 рабочих дней после осуществления </w:t>
            </w:r>
          </w:p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7C8">
              <w:rPr>
                <w:rFonts w:ascii="Times New Roman" w:hAnsi="Times New Roman" w:cs="Times New Roman"/>
              </w:rPr>
              <w:t xml:space="preserve">сетевой организацией </w:t>
            </w:r>
          </w:p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7C8">
              <w:rPr>
                <w:rFonts w:ascii="Times New Roman" w:hAnsi="Times New Roman" w:cs="Times New Roman"/>
              </w:rPr>
              <w:t>фактического присоединения объектов электроэнергетики (</w:t>
            </w:r>
            <w:proofErr w:type="spellStart"/>
            <w:r w:rsidRPr="001C47C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C47C8">
              <w:rPr>
                <w:rFonts w:ascii="Times New Roman" w:hAnsi="Times New Roman" w:cs="Times New Roman"/>
              </w:rPr>
              <w:t xml:space="preserve"> устройств) заявителя к электрическим </w:t>
            </w:r>
          </w:p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47C8">
              <w:rPr>
                <w:rFonts w:ascii="Times New Roman" w:hAnsi="Times New Roman" w:cs="Times New Roman"/>
              </w:rPr>
              <w:t>сетям и фактического приема (подачи) напряжения и мощности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7C8">
              <w:rPr>
                <w:rFonts w:ascii="Times New Roman" w:hAnsi="Times New Roman" w:cs="Times New Roman"/>
              </w:rPr>
              <w:t>Пункты 7, 19 Правил технологического присоединения</w:t>
            </w:r>
          </w:p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C47C8" w:rsidRPr="00ED3751" w:rsidTr="0017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Default="001C47C8" w:rsidP="008C0150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Подписанный</w:t>
            </w:r>
          </w:p>
          <w:p w:rsid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сетевой организацией и заявителем акт об осуществлении </w:t>
            </w:r>
          </w:p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EC">
              <w:rPr>
                <w:rFonts w:ascii="Times New Roman" w:hAnsi="Times New Roman" w:cs="Times New Roman"/>
                <w:color w:val="000000"/>
              </w:rPr>
              <w:t>5.2</w:t>
            </w:r>
            <w:r>
              <w:rPr>
                <w:rFonts w:ascii="Times New Roman" w:hAnsi="Times New Roman" w:cs="Times New Roman"/>
                <w:color w:val="000000"/>
              </w:rPr>
              <w:t xml:space="preserve">. Направление сетевой организацией подписанного с заявителем акта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энергосбытовую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организацию</w:t>
            </w:r>
          </w:p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Default="001C47C8" w:rsidP="001C47C8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2 </w:t>
            </w:r>
          </w:p>
          <w:p w:rsidR="001C47C8" w:rsidRPr="001C47C8" w:rsidRDefault="001C47C8" w:rsidP="00B338EC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рабочих дней со</w:t>
            </w:r>
            <w:r w:rsidR="00B338E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дня подписания заявителем и сетевой организацией акта об осуществлении технологического присоединения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1C47C8" w:rsidRDefault="001C47C8" w:rsidP="001C47C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19(1) Правил технологического присоединения</w:t>
            </w:r>
          </w:p>
        </w:tc>
      </w:tr>
    </w:tbl>
    <w:p w:rsidR="006C2A9A" w:rsidRDefault="006C2A9A"/>
    <w:p w:rsidR="00AD309F" w:rsidRPr="00BC2E96" w:rsidRDefault="00AD309F" w:rsidP="00AD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96">
        <w:rPr>
          <w:rFonts w:ascii="Times New Roman" w:hAnsi="Times New Roman" w:cs="Times New Roman"/>
          <w:b/>
          <w:bCs/>
          <w:color w:val="548DD4"/>
          <w:sz w:val="24"/>
          <w:szCs w:val="24"/>
        </w:rPr>
        <w:t>КОНТАКТНАЯ ИНФОРМАЦИЯ ДЛЯ НАПРАВЛЕНИЯ ОБРАЩЕНИИЙ:</w:t>
      </w:r>
    </w:p>
    <w:p w:rsidR="00AD309F" w:rsidRPr="00BE564B" w:rsidRDefault="00AD309F" w:rsidP="00AD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Номер контакт центра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ОО</w:t>
      </w:r>
      <w:r w:rsidRPr="00BC2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«Горсети»</w:t>
      </w:r>
      <w:r w:rsidRPr="00BE56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8 (3822) 999-911</w:t>
      </w:r>
      <w:r w:rsidRPr="00BE56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8-800-250-59-91</w:t>
      </w:r>
      <w:r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</w:t>
      </w:r>
      <w:r w:rsidRPr="00BE564B">
        <w:rPr>
          <w:rFonts w:ascii="Times New Roman" w:hAnsi="Times New Roman" w:cs="Times New Roman"/>
          <w:color w:val="000000"/>
          <w:sz w:val="24"/>
          <w:szCs w:val="24"/>
        </w:rPr>
        <w:t>(звонок бесплатный)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309F" w:rsidRPr="00BC2E96" w:rsidRDefault="00AD309F" w:rsidP="00AD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Портал электросетевых услуг: </w:t>
      </w:r>
      <w:r w:rsidRPr="00BE564B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https://www.gorsetitomsk.ru/</w:t>
      </w:r>
      <w:r w:rsidRPr="00BC2E9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AD309F" w:rsidRPr="00BC2E96" w:rsidRDefault="00AD309F" w:rsidP="00AD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ОО</w:t>
      </w:r>
      <w:r w:rsidRPr="00BC2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«Горсети»</w:t>
      </w:r>
      <w:r w:rsidRPr="00BE56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</w:t>
      </w:r>
      <w:hyperlink r:id="rId4" w:history="1">
        <w:r w:rsidRPr="00AD309F">
          <w:rPr>
            <w:rFonts w:ascii="Times New Roman" w:hAnsi="Times New Roman" w:cs="Times New Roman"/>
            <w:color w:val="0000FF"/>
            <w:sz w:val="24"/>
            <w:szCs w:val="24"/>
          </w:rPr>
          <w:t>admin@gorsetitomsk.ru</w:t>
        </w:r>
      </w:hyperlink>
      <w:r>
        <w:t>.</w:t>
      </w:r>
    </w:p>
    <w:p w:rsidR="00AD309F" w:rsidRDefault="00AD309F"/>
    <w:sectPr w:rsidR="00AD309F" w:rsidSect="005B2C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FE"/>
    <w:rsid w:val="001C47C8"/>
    <w:rsid w:val="00565995"/>
    <w:rsid w:val="005B2CFE"/>
    <w:rsid w:val="006C2A9A"/>
    <w:rsid w:val="008C0150"/>
    <w:rsid w:val="00AD309F"/>
    <w:rsid w:val="00B338EC"/>
    <w:rsid w:val="00ED3751"/>
    <w:rsid w:val="00F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ACBB7-1F9F-4C77-8718-F9D4EC05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CFE"/>
    <w:rPr>
      <w:color w:val="0000FF"/>
      <w:u w:val="single"/>
    </w:rPr>
  </w:style>
  <w:style w:type="table" w:styleId="-35">
    <w:name w:val="List Table 3 Accent 5"/>
    <w:basedOn w:val="a1"/>
    <w:uiPriority w:val="48"/>
    <w:rsid w:val="005B2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gorseti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Зоркова</dc:creator>
  <cp:keywords/>
  <dc:description/>
  <cp:lastModifiedBy>Зоркова</cp:lastModifiedBy>
  <cp:revision>6</cp:revision>
  <dcterms:created xsi:type="dcterms:W3CDTF">2024-10-07T10:05:00Z</dcterms:created>
  <dcterms:modified xsi:type="dcterms:W3CDTF">2024-10-31T07:56:00Z</dcterms:modified>
</cp:coreProperties>
</file>